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2DBE" w14:textId="77777777" w:rsidR="00DF3449" w:rsidRDefault="00DF3449" w:rsidP="00DF3449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color w:val="FF0000"/>
          <w:sz w:val="56"/>
          <w:szCs w:val="56"/>
          <w:cs/>
        </w:rPr>
        <w:t>ตัวอย่าง</w:t>
      </w:r>
    </w:p>
    <w:p w14:paraId="5A499515" w14:textId="77777777" w:rsidR="00DF3449" w:rsidRDefault="00DF3449" w:rsidP="00DF344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53E93645" w14:textId="5F26C8FE" w:rsidR="00DF3449" w:rsidRDefault="00DF3449" w:rsidP="00DF3449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4E0D13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A.1.1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50193938" w14:textId="77777777" w:rsidR="00DF3449" w:rsidRDefault="00DF34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0121B2" w14:textId="672D4E14" w:rsidR="00717BB1" w:rsidRPr="000F485C" w:rsidRDefault="005A5B5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แนวป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บัติสำหรับการดำเนินการของผู้ควบคุมข้อมูลส่วนบุคคล</w:t>
      </w:r>
    </w:p>
    <w:p w14:paraId="6B768633" w14:textId="77777777" w:rsidR="00717BB1" w:rsidRPr="000F485C" w:rsidRDefault="005A5B5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เพื่อให้เป็นไปตามพระราชบัญญัติคุ้มครองข้อมูลส่วนบุคคล</w:t>
      </w:r>
    </w:p>
    <w:p w14:paraId="3D0738E1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1DEE5F" w14:textId="6700FE4A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สพร. กำหนดกรอบการทำงานเป็นขั้นตอนการป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บัติของผู้ควบคุมข้อมูล (</w:t>
      </w:r>
      <w:r w:rsidRPr="000F485C">
        <w:rPr>
          <w:rFonts w:ascii="TH SarabunPSK" w:hAnsi="TH SarabunPSK" w:cs="TH SarabunPSK" w:hint="cs"/>
          <w:sz w:val="32"/>
          <w:szCs w:val="32"/>
        </w:rPr>
        <w:t>Data Controller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โดยอ้างอิงจากมาตรา 37 แห่งพระราชบัญญัติคุ้มครองข้อมูลส่วนบุคคล เรื่องหน้าที่ของผู้ควบคุมข้อมูลส่วนบุคคลซึ่งมีทั้งหมด 5 ข้อ ดังนี้</w:t>
      </w:r>
    </w:p>
    <w:p w14:paraId="6C4E9C29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C9AF15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มาตรา 37 (1)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จัดให้มีมาตรการรักษาความมั่นคงปลอดภัยที่เหมาะสม เพื่อป้องกันการสูญหาย เข้าถึง ใช้</w:t>
      </w:r>
    </w:p>
    <w:p w14:paraId="3A4E788B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เปลี่ยนแปลง แก้ไข หรือเปิดเผยข้อมูลส่วนบุคคลโดยปราศจากอำนาจหรือโดยมิชอบ และต้องทบทวน</w:t>
      </w:r>
    </w:p>
    <w:p w14:paraId="6F734403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มาตรการดังกล่าวเมื่อมีความจำเป็นหรือเมื่อเทคโนโลยีเปลี่ยนแปลงไปเพื่อให้มีประสิทธิภาพในการรักษา</w:t>
      </w:r>
    </w:p>
    <w:p w14:paraId="340506ED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ความมั่นคงปลอดภัยที่เหมาะสม ทั้งนี้ ให้เป็นไปตามมาตรฐานขั้นต่ำที่คณะกรรมการประกาศกำหนด</w:t>
      </w:r>
    </w:p>
    <w:p w14:paraId="3FE771DD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D31C66" w14:textId="1C655559" w:rsidR="00574EF7" w:rsidRDefault="00574EF7" w:rsidP="00CF1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A5B57" w:rsidRPr="000F485C">
        <w:rPr>
          <w:rFonts w:ascii="TH SarabunPSK" w:hAnsi="TH SarabunPSK" w:cs="TH SarabunPSK" w:hint="cs"/>
          <w:sz w:val="32"/>
          <w:szCs w:val="32"/>
          <w:cs/>
        </w:rPr>
        <w:t xml:space="preserve">อธิบายมาตรการรักษาความปลอดภัยของข้อมูลส่วนบุคคลครอบคลุมอย่างน้อย 3 ประเด็นดังนี้ </w:t>
      </w:r>
    </w:p>
    <w:p w14:paraId="44F85161" w14:textId="77777777" w:rsidR="00574EF7" w:rsidRDefault="005A5B57" w:rsidP="00CF1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1) การธำรงไว้ซึ่งความลับ (</w:t>
      </w:r>
      <w:r w:rsidRPr="000F485C">
        <w:rPr>
          <w:rFonts w:ascii="TH SarabunPSK" w:hAnsi="TH SarabunPSK" w:cs="TH SarabunPSK" w:hint="cs"/>
          <w:sz w:val="32"/>
          <w:szCs w:val="32"/>
        </w:rPr>
        <w:t>confidentiality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E14C576" w14:textId="77777777" w:rsidR="00574EF7" w:rsidRDefault="005A5B57" w:rsidP="00CF1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2) ความถูกต้องครบถ้วน (</w:t>
      </w:r>
      <w:r w:rsidRPr="000F485C">
        <w:rPr>
          <w:rFonts w:ascii="TH SarabunPSK" w:hAnsi="TH SarabunPSK" w:cs="TH SarabunPSK" w:hint="cs"/>
          <w:sz w:val="32"/>
          <w:szCs w:val="32"/>
        </w:rPr>
        <w:t>integrity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) และ </w:t>
      </w:r>
    </w:p>
    <w:p w14:paraId="407BF50B" w14:textId="77777777" w:rsidR="00574EF7" w:rsidRDefault="005A5B57" w:rsidP="00CF1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3) สภาพพร้อมใช้งาน (</w:t>
      </w:r>
      <w:r w:rsidRPr="000F485C">
        <w:rPr>
          <w:rFonts w:ascii="TH SarabunPSK" w:hAnsi="TH SarabunPSK" w:cs="TH SarabunPSK" w:hint="cs"/>
          <w:sz w:val="32"/>
          <w:szCs w:val="32"/>
        </w:rPr>
        <w:t>availability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</w:t>
      </w:r>
      <w:r w:rsidR="00CF1379">
        <w:rPr>
          <w:rFonts w:ascii="TH SarabunPSK" w:hAnsi="TH SarabunPSK" w:cs="TH SarabunPSK"/>
          <w:sz w:val="32"/>
          <w:szCs w:val="32"/>
        </w:rPr>
        <w:t xml:space="preserve"> 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ของข้อมูลส่วนบุคคล </w:t>
      </w:r>
    </w:p>
    <w:p w14:paraId="2549AA5D" w14:textId="2DE83668" w:rsidR="00717BB1" w:rsidRPr="000F485C" w:rsidRDefault="005A5B57" w:rsidP="00CF13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ทั้งนี้ เพื่อป้องกันการสูญหาย เข้าถึง ใช้ เปลี่ยนแปลง แก้ไข หรือเปิดเผยข้อมูลส่วนบุคคลโดยมิชอบ</w:t>
      </w:r>
    </w:p>
    <w:p w14:paraId="161970BA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065939" w14:textId="363A1262" w:rsidR="00717BB1" w:rsidRPr="000F485C" w:rsidRDefault="00574E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A5B57" w:rsidRPr="000F485C">
        <w:rPr>
          <w:rFonts w:ascii="TH SarabunPSK" w:hAnsi="TH SarabunPSK" w:cs="TH SarabunPSK" w:hint="cs"/>
          <w:sz w:val="32"/>
          <w:szCs w:val="32"/>
          <w:cs/>
        </w:rPr>
        <w:t>อย่างน้อยควรประกอบด้วยการดำเนินการ ดังต่อไปนี้</w:t>
      </w:r>
    </w:p>
    <w:p w14:paraId="3399CEC0" w14:textId="77777777" w:rsidR="00717BB1" w:rsidRPr="000F485C" w:rsidRDefault="005A5B57">
      <w:pPr>
        <w:pStyle w:val="ListParagraph"/>
        <w:numPr>
          <w:ilvl w:val="0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มาตรการป้องกันด้านการบริหารจัดการ (</w:t>
      </w:r>
      <w:r w:rsidRPr="000F485C">
        <w:rPr>
          <w:rFonts w:ascii="TH SarabunPSK" w:hAnsi="TH SarabunPSK" w:cs="TH SarabunPSK" w:hint="cs"/>
          <w:sz w:val="32"/>
          <w:szCs w:val="32"/>
        </w:rPr>
        <w:t>administrative safeguard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9D7CEF" w14:textId="009CA145" w:rsidR="00717BB1" w:rsidRPr="000F485C" w:rsidRDefault="005A5B57">
      <w:pPr>
        <w:pStyle w:val="ListParagraph"/>
        <w:numPr>
          <w:ilvl w:val="1"/>
          <w:numId w:val="2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มีการออกระเบียบ วิธีป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บัติ สำหรับควบคุมการเข้าถึงข้อมูลส่วนบุคคลและอุปกรณ์ในการจัดเก็บและประมวลผลข้อมูลส่วนบุคคลโดยคำนึงถึงการใช้งานและความมั่นคงปลอดภัย เช่น กำหนดให้มีบันทึกการเข้าออกพื้นที่ กำหนดให้เจ้าหน้าที่รักษาความปลอดภัยตรวจสอบผู้มีสิทธิผ่านเข้าออก มีการกำหนดรายชื่อผู้มีสิทธิเข้าถึง</w:t>
      </w:r>
    </w:p>
    <w:p w14:paraId="6ACEA6DA" w14:textId="77777777" w:rsidR="00717BB1" w:rsidRPr="000F485C" w:rsidRDefault="005A5B57">
      <w:pPr>
        <w:pStyle w:val="ListParagraph"/>
        <w:autoSpaceDE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ทั้งนี้ความเข้มข้นของมาตรการ ให้เป็นไปตามระดับความเสี่ยง หรือ ความเสียหายที่อาจเกิดขึ้นหากข้อมูลส่วนบุคคลรั่วไหล ถูกแก้ไข ถูกคัดลอก หรือ ถูกทำลาย โดยมิชอบ </w:t>
      </w:r>
    </w:p>
    <w:p w14:paraId="14E3E4B8" w14:textId="77777777" w:rsidR="00717BB1" w:rsidRPr="000F485C" w:rsidRDefault="005A5B57">
      <w:pPr>
        <w:pStyle w:val="ListParagraph"/>
        <w:numPr>
          <w:ilvl w:val="1"/>
          <w:numId w:val="2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มีการกำหนดเกี่ยวกับการอนุญาตหรือการกำหนดสิทธิในการเข้าถึงข้อมูลส่วนบุคคลของผู้ใช้งาน (</w:t>
      </w:r>
      <w:r w:rsidRPr="000F485C">
        <w:rPr>
          <w:rFonts w:ascii="TH SarabunPSK" w:hAnsi="TH SarabunPSK" w:cs="TH SarabunPSK" w:hint="cs"/>
          <w:sz w:val="32"/>
          <w:szCs w:val="32"/>
        </w:rPr>
        <w:t>user responsibilities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)  แบ่งเป็น รูปแบบต่าง ๆ เช่น สิทธิในการเข้าดู แก้ไข เพิ่มเติม เปิดเผยและเผยแพร่ การตรวจสอบคุณภาพข้อมูล ตลอดจนการลบทำลาย </w:t>
      </w:r>
    </w:p>
    <w:p w14:paraId="05CA3380" w14:textId="77777777" w:rsidR="00717BB1" w:rsidRPr="000F485C" w:rsidRDefault="00717BB1">
      <w:pPr>
        <w:pStyle w:val="ListParagraph"/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266202" w14:textId="77777777" w:rsidR="00717BB1" w:rsidRPr="000F485C" w:rsidRDefault="005A5B57">
      <w:pPr>
        <w:pStyle w:val="ListParagraph"/>
        <w:numPr>
          <w:ilvl w:val="0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มาตรการป้องกันด้านเทคนิค (</w:t>
      </w:r>
      <w:r w:rsidRPr="000F485C">
        <w:rPr>
          <w:rFonts w:ascii="TH SarabunPSK" w:hAnsi="TH SarabunPSK" w:cs="TH SarabunPSK" w:hint="cs"/>
          <w:sz w:val="32"/>
          <w:szCs w:val="32"/>
        </w:rPr>
        <w:t>technical safeguard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08ABC86" w14:textId="77777777" w:rsidR="00717BB1" w:rsidRPr="000F485C" w:rsidRDefault="005A5B57">
      <w:pPr>
        <w:pStyle w:val="ListParagraph"/>
        <w:numPr>
          <w:ilvl w:val="1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lastRenderedPageBreak/>
        <w:t>การจัดให้มีวิธีการเพื่อให้สามารถตรวจสอบย้อนหลังเกี่ยวกับการเข้าถึง เปลี่ยนแปลง ลบ หรือถ่ายโอนข้อมูลส่วนบุคคล ให้สอดคล้องเหมาะสมกับวิธีการและสื่อที่ใช้ในการเก็บรวบรวม ใช้หรือเปิดเผยข้อมูลส่วนบุคคล</w:t>
      </w:r>
    </w:p>
    <w:p w14:paraId="68116CD9" w14:textId="48641BD7" w:rsidR="00A05CF8" w:rsidRPr="000F485C" w:rsidRDefault="005A5B57" w:rsidP="00A05CF8">
      <w:pPr>
        <w:pStyle w:val="ListParagraph"/>
        <w:numPr>
          <w:ilvl w:val="1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การบริหารจัดการการเข้าถึงของผู้ใช้งาน (</w:t>
      </w:r>
      <w:r w:rsidRPr="000F485C">
        <w:rPr>
          <w:rFonts w:ascii="TH SarabunPSK" w:hAnsi="TH SarabunPSK" w:cs="TH SarabunPSK" w:hint="cs"/>
          <w:sz w:val="32"/>
          <w:szCs w:val="32"/>
        </w:rPr>
        <w:t>user access management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เพื่อควบคุมการเข้าถึงข้อมูลส่วนบุคคลเฉพาะผู้ที่ได้รับอนุญาต</w:t>
      </w:r>
      <w:r w:rsidR="00D67307" w:rsidRPr="000F485C">
        <w:rPr>
          <w:rFonts w:ascii="TH SarabunPSK" w:hAnsi="TH SarabunPSK" w:cs="TH SarabunPSK" w:hint="cs"/>
          <w:sz w:val="32"/>
          <w:szCs w:val="32"/>
          <w:cs/>
        </w:rPr>
        <w:t xml:space="preserve"> ตามระดับสิทธิการใช้งาน ได้แก่ การนำเข้า เปลี่ยนแปลง แก้ไข เปิดเผย ตลอดจนการลบทำลาย </w:t>
      </w:r>
    </w:p>
    <w:p w14:paraId="56BF0BC5" w14:textId="422FD7B3" w:rsidR="00A05CF8" w:rsidRPr="000F485C" w:rsidRDefault="00A05CF8" w:rsidP="00A05CF8">
      <w:pPr>
        <w:pStyle w:val="ListParagraph"/>
        <w:numPr>
          <w:ilvl w:val="1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จัดให้มีระบบสำรองและกู้คืนข้อมูล เพื่อให้ระบบ และ</w:t>
      </w:r>
      <w:r w:rsidRPr="000F485C">
        <w:rPr>
          <w:rFonts w:ascii="TH SarabunPSK" w:hAnsi="TH SarabunPSK" w:cs="TH SarabunPSK" w:hint="cs"/>
          <w:sz w:val="32"/>
          <w:szCs w:val="32"/>
        </w:rPr>
        <w:t>/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0F485C">
        <w:rPr>
          <w:rFonts w:ascii="TH SarabunPSK" w:hAnsi="TH SarabunPSK" w:cs="TH SarabunPSK" w:hint="cs"/>
          <w:sz w:val="32"/>
          <w:szCs w:val="32"/>
        </w:rPr>
        <w:t xml:space="preserve"> 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บริการต่าง ๆ ยังสามารถดำเนินการได้อย่างต่อเนื่อง</w:t>
      </w:r>
    </w:p>
    <w:p w14:paraId="01C86E28" w14:textId="77777777" w:rsidR="00717BB1" w:rsidRPr="000F485C" w:rsidRDefault="00717BB1" w:rsidP="006545A4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6A5C3" w14:textId="77777777" w:rsidR="00717BB1" w:rsidRPr="000F485C" w:rsidRDefault="005A5B57">
      <w:pPr>
        <w:pStyle w:val="ListParagraph"/>
        <w:numPr>
          <w:ilvl w:val="0"/>
          <w:numId w:val="1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มาตรการป้องกันทางกายภาพ (</w:t>
      </w:r>
      <w:r w:rsidRPr="000F485C">
        <w:rPr>
          <w:rFonts w:ascii="TH SarabunPSK" w:hAnsi="TH SarabunPSK" w:cs="TH SarabunPSK" w:hint="cs"/>
          <w:sz w:val="32"/>
          <w:szCs w:val="32"/>
        </w:rPr>
        <w:t>physical safeguard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ในเรื่องการเข้าถึงหรือควบคุมการใช้งานข้อมูลส่วนบุคคล (</w:t>
      </w:r>
      <w:r w:rsidRPr="000F485C">
        <w:rPr>
          <w:rFonts w:ascii="TH SarabunPSK" w:hAnsi="TH SarabunPSK" w:cs="TH SarabunPSK" w:hint="cs"/>
          <w:sz w:val="32"/>
          <w:szCs w:val="32"/>
        </w:rPr>
        <w:t>access control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881EA48" w14:textId="77777777" w:rsidR="00717BB1" w:rsidRPr="000F485C" w:rsidRDefault="005A5B57">
      <w:pPr>
        <w:pStyle w:val="ListParagraph"/>
        <w:numPr>
          <w:ilvl w:val="1"/>
          <w:numId w:val="3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มีการควบคุมการเข้าถึงข้อมูลส่วนบุคคลและอุปกรณ์ในการจัดเก็บและประมวลผลข้อมูลส่วนบุคคลโดยคำนึงถึงการใช้งานและความมั่นคงปลอดภัย เช่น มีบันทึกการเข้าออกพื้นที่ มีเจ้าหน้าที่รักษาความปลอดภัยของพื้นที่ มีระบบกล้องวงจรปิดติดตั้ง มีการล้อมรั้วและล็อคประตูทุกครั้ง มีระบบบัตรผ่านเฉพาะผู้มีสิทธิเข้าออก </w:t>
      </w:r>
    </w:p>
    <w:p w14:paraId="1B059EB9" w14:textId="77777777" w:rsidR="00717BB1" w:rsidRPr="000F485C" w:rsidRDefault="005A5B57">
      <w:pPr>
        <w:pStyle w:val="ListParagraph"/>
        <w:autoSpaceDE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ทั้งนี้ความเข้มข้นของมาตรการ ให้เป็นไปตามระดับความเสี่ยง หรือ ความเสียหายที่อาจเกิดขึ้นหากข้อมูลส่วนบุคคลรั่วไหล ถูกแก้ไข ถูกคัดลอก หรือ ถูกทำลาย โดยมิชอบ </w:t>
      </w:r>
    </w:p>
    <w:p w14:paraId="41A6EC59" w14:textId="39D58E73" w:rsidR="00717BB1" w:rsidRPr="000F485C" w:rsidRDefault="005A5B57" w:rsidP="000F485C">
      <w:pPr>
        <w:pStyle w:val="ListParagraph"/>
        <w:numPr>
          <w:ilvl w:val="1"/>
          <w:numId w:val="3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กำหนดหน้าที่ความรับผิดชอบของผู้ใช้งาน (</w:t>
      </w:r>
      <w:r w:rsidRPr="000F485C">
        <w:rPr>
          <w:rFonts w:ascii="TH SarabunPSK" w:hAnsi="TH SarabunPSK" w:cs="TH SarabunPSK" w:hint="cs"/>
          <w:sz w:val="32"/>
          <w:szCs w:val="32"/>
        </w:rPr>
        <w:t>user responsibilities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เพื่อป้องกันการเข้าถึงข้อมูลส่วนบุคคลโดยไม่ได้รับอนุญาต การเปิดเผย การล่วงรู้ หรือการลักลอบทำสำเนาข้อมูลส่วนบุคคล การลักขโมยอุปกรณ์จัดเก็บหรือประมวลผลข้อมูลส่วนบุคคล  การลักลอบนำอุปกรณ์เข้าออก</w:t>
      </w:r>
    </w:p>
    <w:p w14:paraId="686A0735" w14:textId="77777777" w:rsidR="00151FDB" w:rsidRDefault="00151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C5D8F4" w14:textId="6B745191" w:rsidR="00717BB1" w:rsidRDefault="00151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</w:t>
      </w:r>
    </w:p>
    <w:p w14:paraId="70D4687E" w14:textId="77777777" w:rsidR="00151FDB" w:rsidRPr="000F485C" w:rsidRDefault="00151FD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020D6DE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มาตรา 37 (2)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ในกรณีที่ต้องให้ข้อมูลส่วนบุคคลแก่บุคคลหรือนิติบุคคลอื่นที่ไม่ใช่ผู้ควบคุมข้อมูลส่วนบุคคล</w:t>
      </w:r>
    </w:p>
    <w:p w14:paraId="76DFCE66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ต้องดำเนินการเพื่อป้องกันมิให้ผู้นั้นใช้หรือเปิดเผยข้อมูลส่วนบุคคลโดยปราศจากอำนาจหรือโดยมิชอบ</w:t>
      </w:r>
    </w:p>
    <w:p w14:paraId="02FE1166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EE30B9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สิ่งที่ดำเนินการอย่างน้อยควรประกอบด้วยการดำเนินการ ดังต่อไปนี้</w:t>
      </w:r>
    </w:p>
    <w:p w14:paraId="37D00BAA" w14:textId="77777777" w:rsidR="00717BB1" w:rsidRPr="000F485C" w:rsidRDefault="005A5B5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การประเมินก่อนส่งมอบข้อมูล</w:t>
      </w:r>
    </w:p>
    <w:p w14:paraId="435C5D29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ให้ดำเนินการตรวจสอบสิทธิ อำนาจหน้าที่ และฐานกฎหมายที่บุคคล และ/หรือ นิติบุคคลรายอื่นนั้น ใช้เพื่อร้องขอข้อมูลส่วนบุคคล </w:t>
      </w:r>
    </w:p>
    <w:p w14:paraId="496ED705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ให้สอบถามวัตถุประสงค์ในการนำข้อมูลไปใช้งานเพื่อให้สามารถประเมินว่าควรสำเนาข้อมูลให้ในระดับรายละเอียดเท่าใด (เช่น จำเป็นต้องทราบวัน-เดือน-ปีเกิด หรือบ้านเลขที่ หรือไม่ หรือเพียงปี พ.ศ. เกิด และ รหัสไปรษณีย์ ก็เพียงพอ) และจำเป็นต้องทราบข้อมูลที่ชี้จำเพาะบุคคล (เช่น ชื่อ-นามสกุล เลขประจำตัว 13 หลัก) หรือไม่ หากแปลงข้อมูลที่ชี้จำเพาะบุคคลแทนด้วยรหัสใหม่ที่เป็นนิรนามจะเพียงต่อการนำไปใช้ประโยชน์หรือไม่  </w:t>
      </w:r>
    </w:p>
    <w:p w14:paraId="3C3BAE96" w14:textId="77777777" w:rsidR="00717BB1" w:rsidRPr="000F485C" w:rsidRDefault="005A5B5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เมื่อส่งมอบข้อมูล</w:t>
      </w:r>
    </w:p>
    <w:p w14:paraId="58A58D2D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จัดเตรียมข้อมูลใหม่จากข้อมูลดิบให้มีระดับรายละเอียดเท่าที่จำเป็นต่อจุดประสงค์การใช้งาน</w:t>
      </w:r>
    </w:p>
    <w:p w14:paraId="6225EBA2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lastRenderedPageBreak/>
        <w:t>ส่งมอบข้อมูล พร้อมทำการบันทึกชื่อผู้ขอข้อมูล ข้อมูลสำหรับติดต่อ วัน-เดือน-ปี ที่ให้ข้อมูล ฐานกฎหมายที่ใช้สำหรับเข้าถึงข้อมูลส่วนบุคคล ตลอดจนวัตถุประสงค์การนำไปใช้งาน</w:t>
      </w:r>
    </w:p>
    <w:p w14:paraId="63CDA275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แจ้งให้บุคคล หรือ นิติบุคคลนั้น ทราบว่าเมื่อรับข้อมูลไปแล้ว ผู้รับข้อมูลจะต้องดำเนินการตามหน้าที่ของผู้ควบคุมข้อมูลส่วนบุคคลสำหรับข้อมูลชุดที่ร้องขอไปนั้นเช่นเดียวกัน ตามขอบเขตและวัตถุประสงค์การใช้งานที่แจ้งไว้</w:t>
      </w:r>
    </w:p>
    <w:p w14:paraId="62DE3EF7" w14:textId="77777777" w:rsidR="00717BB1" w:rsidRPr="000F485C" w:rsidRDefault="005A5B5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หลังส่งมอบข้อมูล</w:t>
      </w:r>
    </w:p>
    <w:p w14:paraId="0322691E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ติดตามการใช้งานเป็นครั้งคราว เช่น ทุก 3 เดือน 6 เดือน หรือ 1 ปี เพื่อบันทึกสถานะล่าสุดในการใช้งานข้อมูลนั้น หากไม่มีความจำเป็นใช้งานตามวัตถุประสงค์ที่แจ้งไว้เดิม ควรแจ้งให้บุคคล หรือ นิติบุคคลนั้น ลบทำลายข้อมูล</w:t>
      </w:r>
    </w:p>
    <w:p w14:paraId="5A276024" w14:textId="77777777" w:rsidR="00717BB1" w:rsidRPr="000F485C" w:rsidRDefault="005A5B57">
      <w:pPr>
        <w:pStyle w:val="ListParagraph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กำหนดวิธีการในการปรับปรุงข้อมูลให้ทันสมัยต่อการใช้งานของผู้ใช้อยู่เสมอ เช่น มีโปรแกรมคอมพิวเตอร์สำหรับเชื่อมต่อปรับปรุงให้ข้อมูลต้นทางและปลายทางมีความทันสมัยเท่ากันโดยอัตโนมัติตลอดเวลา </w:t>
      </w:r>
    </w:p>
    <w:p w14:paraId="33A0206B" w14:textId="46A36CDF" w:rsidR="00717BB1" w:rsidRDefault="00717BB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A289C7C" w14:textId="77777777" w:rsidR="00151FDB" w:rsidRDefault="00151FDB" w:rsidP="00151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</w:t>
      </w:r>
    </w:p>
    <w:p w14:paraId="06948114" w14:textId="77777777" w:rsidR="00151FDB" w:rsidRPr="000F485C" w:rsidRDefault="00151FDB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1088376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มาตรา 37 (3)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จัดให้มีระบบการตรวจสอบเพื่อดำเนินการลบหรือทำลายข้อมูลส่วนบุคคลเมื่อพ้นกำหนด</w:t>
      </w:r>
    </w:p>
    <w:p w14:paraId="5EA8107F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ระยะเวลาการเก็บรักษา หรือที่ไม่เกี่ยวข้องหรือเกินความจำเป็นตามวัตถุประสงค์ในการเก็บรวบรวมข้อมูลส่วนบุคคลนั้น หรือตามที่เจ้าของข้อมูลส่วนบุคคลร้องขอ หรือที่เจ้าของข้อมูลส่วนบุคคลได้ถอนความยินยอม เว้นแต่เก็บรักษาไว้เพื่อวัตถุประสงค์ในการใช้เสรีภาพในการแสดงความคิดเห็นการเก็บรักษาไว้เพื่อวัตถุประสงค์ตามมาตรา 24 (1) หรือ (4) หรือมาตรา 26 (5) (ก) หรือ (ข) การใช้เพื่อการก่อตั้งสิทธิเรียกร้องตามกฎหมาย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 หรือเพื่อการปฏิบัติตามกฎหมาย ทั้งนี้ ให้นำความใน มาตรา 33 วรรคห้า มาใช้บังคับกับการลบหรือทำลายข้อมูลส่วนบุคคลโดยอนุโลม</w:t>
      </w:r>
    </w:p>
    <w:p w14:paraId="708DAEAD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731B30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67218651"/>
      <w:r w:rsidRPr="000F485C">
        <w:rPr>
          <w:rFonts w:ascii="TH SarabunPSK" w:hAnsi="TH SarabunPSK" w:cs="TH SarabunPSK" w:hint="cs"/>
          <w:sz w:val="32"/>
          <w:szCs w:val="32"/>
          <w:cs/>
        </w:rPr>
        <w:t>สิ่งที่ดำเนินการอย่างน้อยควรประกอบด้วยการดำเนินการ ดังต่อไปนี้</w:t>
      </w:r>
      <w:bookmarkEnd w:id="0"/>
    </w:p>
    <w:p w14:paraId="08E6A921" w14:textId="77777777" w:rsidR="00717BB1" w:rsidRPr="000F485C" w:rsidRDefault="005A5B5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ติดตามสม่ำเสมอ (เช่น ทุกสัปดาห์ หรือ ทุกเดือน) ว่าข้อมูลส่วนบุคคลที่อยู่ในความดูแลของตนนั้น (ในฐานะผู้ควบคุมข้อมูลส่วนบุคคล) มีรายการหรือมีชุดข้อมูลใดที่พ้นกำหนดระยะเวลาการเก็บรักษาหรือไม่ (ตามที่แจ้งเจ้าของข้อมูลส่วนบุคคล (</w:t>
      </w:r>
      <w:r w:rsidRPr="000F485C">
        <w:rPr>
          <w:rFonts w:ascii="TH SarabunPSK" w:hAnsi="TH SarabunPSK" w:cs="TH SarabunPSK" w:hint="cs"/>
          <w:sz w:val="32"/>
          <w:szCs w:val="32"/>
        </w:rPr>
        <w:t>Data Subject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ไว้ในประกาศความเป็นส่วนตัว (</w:t>
      </w:r>
      <w:r w:rsidRPr="000F485C">
        <w:rPr>
          <w:rFonts w:ascii="TH SarabunPSK" w:hAnsi="TH SarabunPSK" w:cs="TH SarabunPSK" w:hint="cs"/>
          <w:sz w:val="32"/>
          <w:szCs w:val="32"/>
        </w:rPr>
        <w:t>Privacy Notice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หรือ ตามที่ขอความยินยอมไว้) ทั้งนี้เพื่อดำเนินการลบทำลายหรือทำให้ข้อมูลส่วนบุคคลเป็นข้อมูลที่ไม่สามารถระบุตัวบุคคลที่เป็นเจ้าของข้อมูลส่วนบุคคลได้ ตามแต่กรณี</w:t>
      </w:r>
    </w:p>
    <w:p w14:paraId="13F2FC4E" w14:textId="77777777" w:rsidR="00717BB1" w:rsidRPr="000F485C" w:rsidRDefault="005A5B5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กรณีเจ้าของข้อมูลส่วนบุคคลขอใช้สิทธิให้ลบทำลายข้อมูล (หรือขอถอนความยินยอม) ผู้ควบคุมข้อมูลส่วนบุคคลและผู้ควบคุมข้อมูลส่วนบุคคลใช้ฐานความยินยอมในการเก็บรวบรวมข้อมูลส่วนบุคคล เช่นนี้ ผู้ควบคุมข้อมูลส่วนบุคคลจะต้องดำเนินการลบทำลายหรือทำให้ข้อมูลส่วนบุคคลเป็นข้อมูลที่ไม่สามารถระบุตัวบุคคลที่เป็นเจ้าของข้อมูลส่วนบุคคลได้ ตามแต่กรณี  </w:t>
      </w:r>
    </w:p>
    <w:p w14:paraId="6BC60158" w14:textId="77777777" w:rsidR="00717BB1" w:rsidRPr="000F485C" w:rsidRDefault="005A5B57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การลบทำลายข้อมูล หรือ การทำให้ข้อมูลส่วนบุคคลเป็นข้อมูลที่ไม่สามารถระบุตัวบุคคลที่เป็นเจ้าของข้อมูลส่วนบุคคลได้ อาจยกเว้นไม่กระทำก็ได้ในกรณีผู้ควบคุมข้อมูลส่วนบุคคลมีเหตุผลความจำเป็นที่เหนือกว่าสิทธิของเจ้าของข้อมูล เช่น </w:t>
      </w:r>
    </w:p>
    <w:p w14:paraId="262E71F9" w14:textId="77777777" w:rsidR="00717BB1" w:rsidRPr="000F485C" w:rsidRDefault="005A5B57">
      <w:pPr>
        <w:pStyle w:val="ListParagraph"/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(ก) เพื่อวัตถุประสงค์การจัดทำเอกสารประวัติศาสตร์หรือจดหมายเหตุเพื่อประโยชน์สาธารณะ การศึกษาวิจัยหรือสถิติ </w:t>
      </w:r>
    </w:p>
    <w:p w14:paraId="5ED7319A" w14:textId="77777777" w:rsidR="00717BB1" w:rsidRPr="000F485C" w:rsidRDefault="005A5B57">
      <w:pPr>
        <w:pStyle w:val="ListParagraph"/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(ข) เพื่อการสร้างประโยชน์สาธารณะตามหน้าที่ของผู้ควบคุมข้อมูลส่วนบุคคลรายนั้น </w:t>
      </w:r>
    </w:p>
    <w:p w14:paraId="0096BA1D" w14:textId="77777777" w:rsidR="00717BB1" w:rsidRPr="000F485C" w:rsidRDefault="005A5B57">
      <w:pPr>
        <w:pStyle w:val="ListParagraph"/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(ค) เพื่อประเมินความสามารถในการทำงานของลูกจ้าง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 การจัดการด้านสุขภาพ หรือระบบและการให้บริการด้านสังคมสงเคราะห์ </w:t>
      </w:r>
    </w:p>
    <w:p w14:paraId="316EA3DB" w14:textId="77777777" w:rsidR="00717BB1" w:rsidRPr="000F485C" w:rsidRDefault="005A5B57">
      <w:pPr>
        <w:pStyle w:val="ListParagraph"/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(ง) การป้องกันด้านสุขภาพจากโรคติดต่ออันตรายหรือโรคระบาดที่อาจติดต่อหรือแพร่เข้ามาในราชอาณาจักร หรือการควบคุมมาตรฐานหรือคุณภาพของยา เวชภัณฑ์ หรือเครื่องมือแพทย์</w:t>
      </w:r>
    </w:p>
    <w:p w14:paraId="7C90E0AC" w14:textId="77777777" w:rsidR="00717BB1" w:rsidRPr="000F485C" w:rsidRDefault="00717BB1">
      <w:pPr>
        <w:pStyle w:val="ListParagraph"/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082333" w14:textId="77777777" w:rsidR="00717BB1" w:rsidRPr="000F485C" w:rsidRDefault="005A5B57">
      <w:pPr>
        <w:pStyle w:val="ListParagraph"/>
        <w:autoSpaceDE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ทั้งนี้ ต้องจัดให้มีมาตรการดูแลข้อมูลที่เหมาะสมและเจาะจงเพื่อคุ้มครองสิทธิเสรีภาพและประโยชน์ของเจ้าของข้อมูลส่วนบุคคลโดยเฉพาะการรักษาความลับของข้อมูลส่วนบุคคลตามหน้าที่หรือตามจริยธรรมแห่งวิชาชีพ</w:t>
      </w:r>
    </w:p>
    <w:p w14:paraId="1C3B55BD" w14:textId="5307E7B6" w:rsidR="00717BB1" w:rsidRDefault="00717BB1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8BBCC8" w14:textId="77777777" w:rsidR="00151FDB" w:rsidRDefault="00151FDB" w:rsidP="00151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</w:t>
      </w:r>
    </w:p>
    <w:p w14:paraId="71510077" w14:textId="77777777" w:rsidR="00151FDB" w:rsidRPr="000F485C" w:rsidRDefault="00151FDB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54F0F4" w14:textId="18B5EB0F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มาตรา 37 (4)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แจ้งเหตุการละเมิดข้อมูลส่วนบุคคลแก่ส</w:t>
      </w:r>
      <w:r w:rsidR="00B63B45">
        <w:rPr>
          <w:rFonts w:ascii="TH SarabunPSK" w:hAnsi="TH SarabunPSK" w:cs="TH SarabunPSK" w:hint="cs"/>
          <w:i/>
          <w:iCs/>
          <w:sz w:val="32"/>
          <w:szCs w:val="32"/>
          <w:cs/>
        </w:rPr>
        <w:t>ำ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นักงานโดยไม่ชักช้าภายในเจ็ดสิบสองชั่วโมง</w:t>
      </w:r>
    </w:p>
    <w:p w14:paraId="74AC8A71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นับแต่ทราบเหตุเท่าที่จะสามารถกระทำได้ เว้นแต่การละเมิดดังกล่าวไม่มีความเสี่ยงที่จะมีผลกระทบต่อ</w:t>
      </w:r>
    </w:p>
    <w:p w14:paraId="1A480E09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สิทธิและเสรีภาพของบุคคล ในกรณีที่การละเมิดมีความเสี่ยงสูงที่จะมีผลกระทบต่อสิทธิและเสรีภาพ</w:t>
      </w:r>
    </w:p>
    <w:p w14:paraId="594F21D8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ของบุคคล ให้แจ้งเหตุการละเมิดให้เจ้าของข้อมูลส่วนบุคคลทราบพร้อมกับแนวทางการเยียวยา</w:t>
      </w:r>
    </w:p>
    <w:p w14:paraId="4BD24C9C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โดยไม่ชักช้าด้วย ทั้งนี้ การแจ้งดังกล่าวและข้อยกเว้นให้เป็นไปตามหลักเกณฑ์และวิธีการที่คณะกรรมการ</w:t>
      </w:r>
    </w:p>
    <w:p w14:paraId="5DD1E126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ประกาศกำหนด</w:t>
      </w:r>
    </w:p>
    <w:p w14:paraId="57B75EE5" w14:textId="77777777" w:rsidR="00717BB1" w:rsidRPr="000F485C" w:rsidRDefault="00717BB1">
      <w:pPr>
        <w:autoSpaceDE w:val="0"/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30C06D34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สิ่งที่ดำเนินการอย่างน้อยควรประกอบด้วยการดำเนินการ ดังต่อไปนี้</w:t>
      </w:r>
    </w:p>
    <w:p w14:paraId="612A40F3" w14:textId="63945B39" w:rsidR="00717BB1" w:rsidRPr="00B63B45" w:rsidRDefault="005A5B57" w:rsidP="00B63B45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กำหนดตัว</w:t>
      </w:r>
      <w:r w:rsidR="00B63B45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B63B45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และวิธีการแจ้งเหตุละเมิด</w:t>
      </w:r>
      <w:r w:rsidR="00B63B45">
        <w:rPr>
          <w:rFonts w:ascii="TH SarabunPSK" w:hAnsi="TH SarabunPSK" w:cs="TH SarabunPSK" w:hint="cs"/>
          <w:sz w:val="32"/>
          <w:szCs w:val="32"/>
          <w:cs/>
        </w:rPr>
        <w:t xml:space="preserve">ให้แก่ตัวแทนของสำนักงานให้ชัดเจน </w:t>
      </w:r>
      <w:r w:rsidRPr="00B63B45">
        <w:rPr>
          <w:rFonts w:ascii="TH SarabunPSK" w:hAnsi="TH SarabunPSK" w:cs="TH SarabunPSK" w:hint="cs"/>
          <w:sz w:val="32"/>
          <w:szCs w:val="32"/>
          <w:cs/>
        </w:rPr>
        <w:t>เช่น การส่งอีเมลล์ และ แจ้งทางโทรศัพท์กรณี</w:t>
      </w:r>
      <w:r w:rsidR="00B63B45">
        <w:rPr>
          <w:rFonts w:ascii="TH SarabunPSK" w:hAnsi="TH SarabunPSK" w:cs="TH SarabunPSK" w:hint="cs"/>
          <w:sz w:val="32"/>
          <w:szCs w:val="32"/>
          <w:cs/>
        </w:rPr>
        <w:t>เป็นเหตุละเมิดที่มีความรุนแรงและ</w:t>
      </w:r>
      <w:r w:rsidRPr="00B63B45">
        <w:rPr>
          <w:rFonts w:ascii="TH SarabunPSK" w:hAnsi="TH SarabunPSK" w:cs="TH SarabunPSK" w:hint="cs"/>
          <w:sz w:val="32"/>
          <w:szCs w:val="32"/>
          <w:cs/>
        </w:rPr>
        <w:t>เร่งด่วน</w:t>
      </w:r>
    </w:p>
    <w:p w14:paraId="2D86717C" w14:textId="2F1660A5" w:rsidR="00B63B45" w:rsidRPr="000F485C" w:rsidRDefault="00B63B45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กำหนดวิธี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ให้ตัวแทนสำนักงานต้องดำเนินการแจ้ง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สำนักงานคณะกรรมการคุ้มครองข้อมูลส่วนบุคคล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ทราบถึงเหตุละเมิดข้อมูลส่วนบุคคลได้ภายใน </w:t>
      </w:r>
      <w:r>
        <w:rPr>
          <w:rFonts w:ascii="TH SarabunPSK" w:hAnsi="TH SarabunPSK" w:cs="TH SarabunPSK"/>
          <w:sz w:val="32"/>
          <w:szCs w:val="32"/>
        </w:rPr>
        <w:t xml:space="preserve">72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 (นับแต่ทราบเหตุ)</w:t>
      </w:r>
    </w:p>
    <w:p w14:paraId="2D0A9B0C" w14:textId="77777777" w:rsidR="00717BB1" w:rsidRPr="000F485C" w:rsidRDefault="005A5B57">
      <w:pPr>
        <w:pStyle w:val="ListParagraph"/>
        <w:numPr>
          <w:ilvl w:val="0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การแจ้งเหตุละเมิดอาจได้รับยกเว้นไม่ต้องดำเนินการก็ได้ หากไม่มีความเสี่ยงที่จะมีผลกระทบต่อสิทธิและเสรีภาพของบุคคล ตัวอย่างการประเมินความเสี่ยงที่จะมีผลกระทบต่อสิทธิและเสรีภาพของบุคคล เช่น </w:t>
      </w:r>
    </w:p>
    <w:p w14:paraId="0AEADD00" w14:textId="77777777" w:rsidR="00717BB1" w:rsidRPr="000F485C" w:rsidRDefault="005A5B57">
      <w:pPr>
        <w:pStyle w:val="ListParagraph"/>
        <w:numPr>
          <w:ilvl w:val="1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ตัวอย่างกรณีความเสี่ยงต่ำ: ข้อมูลส่วนบุคคลถูกเข้ารหัส (ไม่สามารถเปิดอ่านได้หากไม่ทราบรหัสผ่าน) ถูกซอฟต์แวร์เรียกค่าไถ่ (</w:t>
      </w:r>
      <w:r w:rsidRPr="000F485C">
        <w:rPr>
          <w:rFonts w:ascii="TH SarabunPSK" w:hAnsi="TH SarabunPSK" w:cs="TH SarabunPSK" w:hint="cs"/>
          <w:sz w:val="32"/>
          <w:szCs w:val="32"/>
        </w:rPr>
        <w:t>Ransomware</w:t>
      </w:r>
      <w:r w:rsidRPr="000F485C">
        <w:rPr>
          <w:rFonts w:ascii="TH SarabunPSK" w:hAnsi="TH SarabunPSK" w:cs="TH SarabunPSK" w:hint="cs"/>
          <w:sz w:val="32"/>
          <w:szCs w:val="32"/>
          <w:cs/>
        </w:rPr>
        <w:t>) เข้ารหัสจนไม่สามารถใช้งานได้ และไม่ได้ถูกโจรกรรมข้อมูลออกไป  อย่างไรก็ตามผู้ควบคุมข้อมูลส่วนบุคคลมีระบบสำรองรองรับการบริการได้อย่างต่อเนื่อง กรณีนี้ถือได้ว่ามีความเสี่ยงต่ำที่จะมีผลกระทบต่อสิทธิและเสรีภาพของบุคคล  ผู้ควบคุมข้อมูลส่วนบุคคลดำเนินการเพียงบันทึกเหตุการณ์ไว้ (เป็นการภายใน) ก็เพียงพอ ไม่จำเป็นต้องแจ้งสำนักงานคณะกรรมการคุ้มครองข้อมูลส่วนบุคคลทราบ และ ไม่จำเป็นต้องแจ้งเจ้าของข้อมูลส่วนบุคคลทราบ</w:t>
      </w:r>
    </w:p>
    <w:p w14:paraId="6F2D00F8" w14:textId="77777777" w:rsidR="00717BB1" w:rsidRPr="000F485C" w:rsidRDefault="005A5B57">
      <w:pPr>
        <w:pStyle w:val="ListParagraph"/>
        <w:numPr>
          <w:ilvl w:val="1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lastRenderedPageBreak/>
        <w:t>ตัวอย่างกรณีความเสี่ยงสูง: เว็บไซต์รับสมัครงานออนไลน์ถูกละเมิด โดยผู้โจมตีทำการฝังมัลแวร์เพื่อเข้าถึงข้อมูลใบสมัครงานออนไลน์(ตรวจพบ 1 เดือนหลังมัลแวร์ถูกติดตั้ง) เนื้อหาข้อมูลเป็นข้อมูลทั่วไปเพื่อการสมัครงาน อย่างไรก็ตาม ถือว่ามีความเสี่ยงสูงที่เหตุการณ์ดังกล่าวจะมีผลกระทบต่อสิทธิและเสรีภาพของบุคคล เช่นนี้ ผู้ควบคุมข้อมูลส่วนบุคคลจะต้องดำเนินการบันทึก (เป็นการภายใน) ว่าเคยมีเหตุโจรกรรม พร้อมทั้งแจ้งเหตุดังกล่าว (ภายใน 72 ชั่วโมง) ไปยังสำนักงานคณะกรรมการคุ้มครองข้อมูลส่วนบุคคลทราบ และ ยังต้องแจ้งเจ้าของข้อมูลส่วนบุคคลทราบด้วย</w:t>
      </w:r>
    </w:p>
    <w:p w14:paraId="2C8B1E3C" w14:textId="77777777" w:rsidR="00717BB1" w:rsidRPr="000F485C" w:rsidRDefault="005A5B57">
      <w:pPr>
        <w:pStyle w:val="ListParagraph"/>
        <w:numPr>
          <w:ilvl w:val="1"/>
          <w:numId w:val="6"/>
        </w:num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>ตัวอย่างกรณีความเสี่ยงต่ำ: เจ้าหน้าที่ของหน่วยงานส่งอีเมลล์ไปยังผู้รับผิดพลาด ซึ่งแนบไฟล์รายชื่อผู้เข้าอบรมหลักสูตรภาษาอังกฤษ ซึ่งประกอบไปด้วย ชื่อ-นามสกุล ที่อยู่อีเมลล์ และข้อจำกัดในการทานอาหาร ซึ่งมีเพียง 2 คน ใน 15 คนที่ระบุว่า แพ้น้ำตาลแลคโตสในนม (ถือเป็นข้อมูลสุขภาพ)  กรณีนี้อีเมลล์ถูกส่งไปยังผู้เข้าอบรมในรุ่นก่อนหน้าแทนที่จะเป็นเจ้าหน้าที่ของโรงแรมที่จัดอาหาร ซึ่งถือเป็นการทำให้ข้อมูลส่วนบุคคลรั่วไหล อย่างไรก็ตามแม้ข้อมูลสุขภาพ จะถูกเผยแพร่ไปยังผู้ไม่เกี่ยวข้อง แต่ก็ไม่สามารถระบุความเสี่ยงต่อสิทธิและเสรีภาพของเจ้าของข้อมูลส่วนบุคคลได้แน่ชัด เช่นนี้ ถือว่าเป็นกรณีที่มีความเสี่ยงต่ำ  ผู้ควบคุมข้อมูลส่วนบุคคลดำเนินการเพียงบันทึกเหตุการณ์ไว้ (เป็นการภายใน) ก็เพียงพอ ไม่จำเป็นต้องแจ้งสำนักงานคณะกรรมการคุ้มครองข้อมูลส่วนบุคคลทราบ และ ไม่จำเป็นต้องแจ้งเจ้าของข้อมูลส่วนบุคคลทราบ</w:t>
      </w:r>
    </w:p>
    <w:p w14:paraId="7013AC40" w14:textId="77777777" w:rsidR="00717BB1" w:rsidRPr="000F485C" w:rsidRDefault="00717BB1">
      <w:pPr>
        <w:pStyle w:val="ListParagraph"/>
        <w:autoSpaceDE w:val="0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3DC405E4" w14:textId="726708F9" w:rsidR="00717BB1" w:rsidRPr="000F485C" w:rsidRDefault="005A5B57">
      <w:pPr>
        <w:pStyle w:val="ListParagraph"/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 กรณีตัวอย่างและวิธีป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บัติข้างต้นอ้างอิงจาก </w:t>
      </w:r>
      <w:r w:rsidRPr="000F485C">
        <w:rPr>
          <w:rFonts w:ascii="TH SarabunPSK" w:hAnsi="TH SarabunPSK" w:cs="TH SarabunPSK" w:hint="cs"/>
          <w:sz w:val="32"/>
          <w:szCs w:val="32"/>
        </w:rPr>
        <w:t xml:space="preserve">Guidelines 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01/2021 </w:t>
      </w:r>
      <w:r w:rsidRPr="000F485C">
        <w:rPr>
          <w:rFonts w:ascii="TH SarabunPSK" w:hAnsi="TH SarabunPSK" w:cs="TH SarabunPSK" w:hint="cs"/>
          <w:sz w:val="32"/>
          <w:szCs w:val="32"/>
        </w:rPr>
        <w:t>on Examples regarding Data Breach Notification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 สามารถศึกษาวิธีการป</w:t>
      </w:r>
      <w:r w:rsidR="002076B9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บัติเพิ่มเติมได้จาก </w:t>
      </w:r>
      <w:hyperlink r:id="rId7" w:history="1"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https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://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edpb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europa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eu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/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our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work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tools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/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public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consultations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art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-704/2021/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guidelines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-012021-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examples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regarding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data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-</w:t>
        </w:r>
        <w:r w:rsidRPr="000F485C">
          <w:rPr>
            <w:rStyle w:val="Hyperlink"/>
            <w:rFonts w:ascii="TH SarabunPSK" w:hAnsi="TH SarabunPSK" w:cs="TH SarabunPSK" w:hint="cs"/>
            <w:sz w:val="32"/>
            <w:szCs w:val="32"/>
          </w:rPr>
          <w:t>breach_en</w:t>
        </w:r>
      </w:hyperlink>
    </w:p>
    <w:p w14:paraId="2422D25F" w14:textId="77777777" w:rsidR="00717BB1" w:rsidRPr="000F485C" w:rsidRDefault="00717BB1">
      <w:pPr>
        <w:pStyle w:val="ListParagraph"/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D61FB2" w14:textId="77777777" w:rsidR="00151FDB" w:rsidRDefault="00151FDB" w:rsidP="00151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</w:t>
      </w:r>
    </w:p>
    <w:p w14:paraId="3A685BF2" w14:textId="77777777" w:rsidR="00717BB1" w:rsidRPr="000F485C" w:rsidRDefault="00717BB1">
      <w:pPr>
        <w:autoSpaceDE w:val="0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09C3704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มาตรา 37 (5) </w:t>
      </w: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ในกรณีที่เป็นผู้ควบคุมข้อมูลส่วนบุคคลตามมาตรา 5 วรรคสอง ต้องแต่งตั้งตัวแทนของ</w:t>
      </w:r>
    </w:p>
    <w:p w14:paraId="13F78812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ผู้ควบคุมข้อมูลส่วนบุคคลเป็นหนังสือซึ่งตัวแทนต้องอยู่ในราชอาณาจักรและตัวแทนต้องได้รับมอบอำนาจ</w:t>
      </w:r>
    </w:p>
    <w:p w14:paraId="1A2BD86F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ให้กระทำการแทนผู้ควบคุมข้อมูลส่วนบุคคลโดยไม่มีข้อจำกัดความรับผิดใด ๆ ที่เกี่ยวกับการเก็บรวบรวม</w:t>
      </w:r>
    </w:p>
    <w:p w14:paraId="1F1ACF27" w14:textId="77777777" w:rsidR="00717BB1" w:rsidRPr="000F485C" w:rsidRDefault="005A5B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i/>
          <w:iCs/>
          <w:sz w:val="32"/>
          <w:szCs w:val="32"/>
          <w:cs/>
        </w:rPr>
        <w:t>ใช้ หรือเปิดเผยข้อมูลส่วนบุคคลตามวัตถุประสงค์ของผู้ควบคุมข้อมูลส่วนบุคคล</w:t>
      </w:r>
    </w:p>
    <w:p w14:paraId="6289C0D1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9B6EDDD" w14:textId="77777777" w:rsidR="00717BB1" w:rsidRPr="000F485C" w:rsidRDefault="005A5B57">
      <w:pPr>
        <w:autoSpaceDE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5C">
        <w:rPr>
          <w:rFonts w:ascii="TH SarabunPSK" w:hAnsi="TH SarabunPSK" w:cs="TH SarabunPSK" w:hint="cs"/>
          <w:sz w:val="32"/>
          <w:szCs w:val="32"/>
          <w:cs/>
        </w:rPr>
        <w:t xml:space="preserve">หน้าที่ของผู้ควบคุมข้อมูลส่วนบุคคลในข้อนี้ ยังไม่มีความจำเป็นที่ สพร. ต้องดำเนินการใด ๆ </w:t>
      </w:r>
    </w:p>
    <w:p w14:paraId="59D00C41" w14:textId="77777777" w:rsidR="00717BB1" w:rsidRPr="000F485C" w:rsidRDefault="00717BB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717BB1" w:rsidRPr="000F485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2ED4" w14:textId="77777777" w:rsidR="00DB4E5C" w:rsidRDefault="00DB4E5C">
      <w:pPr>
        <w:spacing w:after="0" w:line="240" w:lineRule="auto"/>
      </w:pPr>
      <w:r>
        <w:separator/>
      </w:r>
    </w:p>
  </w:endnote>
  <w:endnote w:type="continuationSeparator" w:id="0">
    <w:p w14:paraId="55EC8246" w14:textId="77777777" w:rsidR="00DB4E5C" w:rsidRDefault="00DB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7A83" w14:textId="77777777" w:rsidR="00DB4E5C" w:rsidRDefault="00DB4E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A91DC5" w14:textId="77777777" w:rsidR="00DB4E5C" w:rsidRDefault="00DB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D8"/>
    <w:multiLevelType w:val="multilevel"/>
    <w:tmpl w:val="93EA0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2094"/>
    <w:multiLevelType w:val="multilevel"/>
    <w:tmpl w:val="E752C4E4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F779C"/>
    <w:multiLevelType w:val="multilevel"/>
    <w:tmpl w:val="FCCA7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27EF6"/>
    <w:multiLevelType w:val="multilevel"/>
    <w:tmpl w:val="D12E7F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 w15:restartNumberingAfterBreak="0">
    <w:nsid w:val="74233E83"/>
    <w:multiLevelType w:val="multilevel"/>
    <w:tmpl w:val="EA929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01144"/>
    <w:multiLevelType w:val="multilevel"/>
    <w:tmpl w:val="0A9E905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B1"/>
    <w:rsid w:val="000F485C"/>
    <w:rsid w:val="00151FDB"/>
    <w:rsid w:val="002076B9"/>
    <w:rsid w:val="004D5919"/>
    <w:rsid w:val="004E0D13"/>
    <w:rsid w:val="00574EF7"/>
    <w:rsid w:val="005A5B57"/>
    <w:rsid w:val="006545A4"/>
    <w:rsid w:val="00670E42"/>
    <w:rsid w:val="00717BB1"/>
    <w:rsid w:val="0098135D"/>
    <w:rsid w:val="00A05CF8"/>
    <w:rsid w:val="00B030C9"/>
    <w:rsid w:val="00B63B45"/>
    <w:rsid w:val="00CF1379"/>
    <w:rsid w:val="00CF3660"/>
    <w:rsid w:val="00D52EE6"/>
    <w:rsid w:val="00D67307"/>
    <w:rsid w:val="00DB4E5C"/>
    <w:rsid w:val="00DE100D"/>
    <w:rsid w:val="00DF3449"/>
    <w:rsid w:val="00F2559F"/>
    <w:rsid w:val="00F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47A9"/>
  <w15:docId w15:val="{B85D14B0-9F08-49B9-9B1C-BCC98C3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DF3449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F3449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pb.europa.eu/our-work-tools/public-consultations-art-704/2021/guidelines-012021-examples-regarding-data-breach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Monsak Socharoentum</dc:creator>
  <dc:description/>
  <cp:lastModifiedBy>Monsak Socharoentum</cp:lastModifiedBy>
  <cp:revision>13</cp:revision>
  <dcterms:created xsi:type="dcterms:W3CDTF">2021-03-22T11:27:00Z</dcterms:created>
  <dcterms:modified xsi:type="dcterms:W3CDTF">2021-07-31T06:10:00Z</dcterms:modified>
</cp:coreProperties>
</file>